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" w:hAnsi="楷体" w:eastAsia="楷体" w:cs="宋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kern w:val="0"/>
          <w:sz w:val="32"/>
          <w:szCs w:val="32"/>
          <w:lang w:bidi="ar"/>
        </w:rPr>
        <w:t>附表1</w:t>
      </w:r>
    </w:p>
    <w:p>
      <w:pPr>
        <w:widowControl/>
        <w:snapToGrid w:val="0"/>
        <w:spacing w:line="420" w:lineRule="exact"/>
        <w:jc w:val="left"/>
        <w:rPr>
          <w:rFonts w:hint="eastAsia" w:ascii="宋体" w:cs="宋体"/>
          <w:kern w:val="0"/>
          <w:szCs w:val="21"/>
          <w:lang w:bidi="ar"/>
        </w:rPr>
      </w:pPr>
    </w:p>
    <w:p>
      <w:pPr>
        <w:widowControl/>
        <w:snapToGrid w:val="0"/>
        <w:spacing w:line="420" w:lineRule="exact"/>
        <w:jc w:val="center"/>
        <w:rPr>
          <w:rFonts w:hint="eastAsia" w:ascii="方正仿宋_GBK" w:eastAsia="方正仿宋_GBK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方正仿宋_GBK" w:eastAsia="方正仿宋_GBK" w:cs="宋体"/>
          <w:b/>
          <w:bCs/>
          <w:kern w:val="0"/>
          <w:sz w:val="36"/>
          <w:szCs w:val="36"/>
          <w:lang w:bidi="ar"/>
        </w:rPr>
        <w:t>巢湖学院出差人员乘坐交通工具等级表</w:t>
      </w:r>
    </w:p>
    <w:p>
      <w:pPr>
        <w:widowControl/>
        <w:snapToGrid w:val="0"/>
        <w:spacing w:line="420" w:lineRule="exact"/>
        <w:jc w:val="left"/>
        <w:rPr>
          <w:rFonts w:hint="eastAsia" w:ascii="宋体" w:cs="宋体"/>
          <w:kern w:val="0"/>
          <w:szCs w:val="21"/>
          <w:lang w:bidi="ar"/>
        </w:rPr>
      </w:pPr>
    </w:p>
    <w:tbl>
      <w:tblPr>
        <w:tblStyle w:val="2"/>
        <w:tblpPr w:leftFromText="180" w:rightFromText="180" w:vertAnchor="text" w:horzAnchor="page" w:tblpX="1725" w:tblpY="127"/>
        <w:tblOverlap w:val="never"/>
        <w:tblW w:w="8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142"/>
        <w:gridCol w:w="1348"/>
        <w:gridCol w:w="1202"/>
        <w:gridCol w:w="1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hidden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K" w:hAnsi="宋体" w:eastAsia="方正仿宋_GBK" w:cs="宋体"/>
                <w:vanish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  <w:t xml:space="preserve">      交 通</w:t>
            </w:r>
          </w:p>
          <w:p>
            <w:pPr>
              <w:widowControl/>
              <w:snapToGrid w:val="0"/>
              <w:jc w:val="left"/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</w:pPr>
            <w:r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  <w:t xml:space="preserve">      工 具</w:t>
            </w:r>
          </w:p>
          <w:p>
            <w:pPr>
              <w:widowControl/>
              <w:snapToGrid w:val="0"/>
              <w:jc w:val="left"/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Style w:val="4"/>
                <w:rFonts w:hint="eastAsia" w:ascii="方正仿宋_GBK" w:hAnsi="宋体" w:eastAsia="方正仿宋_GBK" w:cs="宋体"/>
                <w:b w:val="0"/>
                <w:kern w:val="0"/>
                <w:sz w:val="28"/>
                <w:szCs w:val="28"/>
                <w:lang w:bidi="ar"/>
              </w:rPr>
              <w:t>职 级</w:t>
            </w:r>
          </w:p>
          <w:p>
            <w:pPr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等 级</w:t>
            </w:r>
          </w:p>
          <w:p>
            <w:pPr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标准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 xml:space="preserve">  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火车（含高铁、动车、全列软席列车）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轮船（不含旅游船）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飞机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其他交通工具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厅级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 w:bidi="ar"/>
              </w:rPr>
              <w:t>及相当职务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火车软席（软座、软卧），高铁/动车一等座，全列软席列车一等软座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二等舱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经济舱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凭据报销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val="en-US" w:eastAsia="zh-CN" w:bidi="ar"/>
              </w:rPr>
              <w:t>处级及以下职务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火车硬席（硬座、硬卧），高铁/动车二等座，全列软席列车二等软座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三等舱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经济舱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bidi="ar"/>
              </w:rPr>
              <w:t>凭据报销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2019-07-18T09:07:06Z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